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A7" w:rsidRPr="00A711A7" w:rsidRDefault="008A7E5B" w:rsidP="001B4C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bookmarkStart w:id="0" w:name="_GoBack"/>
      <w:bookmarkEnd w:id="0"/>
      <w:r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Poznaj </w:t>
      </w:r>
      <w:r w:rsidR="000A5B8F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Troję: starożytne miasto, </w:t>
      </w:r>
      <w:r w:rsidR="006C55B0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o którym powstały mity</w:t>
      </w:r>
    </w:p>
    <w:p w:rsidR="00A711A7" w:rsidRPr="00A711A7" w:rsidRDefault="00A711A7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:rsidR="006359F1" w:rsidRDefault="001B4CE1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Od </w:t>
      </w:r>
      <w:r w:rsidR="007D43CC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stron</w:t>
      </w:r>
      <w:r w:rsidR="00A711A7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„Iliady” i „Odysei” Homera po liczne produkcje filmowe i </w:t>
      </w:r>
      <w:r w:rsidR="006359F1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zbiory najważniejszych instytucji</w:t>
      </w:r>
      <w:r w:rsidR="00A711A7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kultury </w:t>
      </w:r>
      <w:r w:rsidR="006359F1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na świecie</w:t>
      </w:r>
      <w:r w:rsidR="00A711A7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="006359F1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historia Troi od wieków fascynuje ludzi na różnych kontynentach. </w:t>
      </w:r>
      <w:r w:rsidR="007D43CC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Położone na terenie </w:t>
      </w:r>
      <w:proofErr w:type="spellStart"/>
      <w:r w:rsidR="007D43CC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="007D43CC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(Turcji) w północno-wschodnim regionie Morza Egejskiego i wpisane na Listę Światowego Dziedzictwa UNESCO, to kultowe starożytne miasto jest nie tylko świadkiem historii, ale także żywym źródłem inspiracji dla literatury, sztuki, kina i nauki. </w:t>
      </w:r>
      <w:r w:rsidR="006359F1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Dziś jego dziedzictwo trafia do nowyc</w:t>
      </w:r>
      <w:r w:rsidR="000B54F0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h odbiorców na całym świecie za </w:t>
      </w:r>
      <w:r w:rsidR="006359F1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sprawą l</w:t>
      </w:r>
      <w:r w:rsidR="003621DF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icznych wydarzeń kulturalnych o </w:t>
      </w:r>
      <w:r w:rsidR="006359F1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międzynarodowym zasięgu.</w:t>
      </w:r>
    </w:p>
    <w:p w:rsidR="007D43CC" w:rsidRDefault="007D43CC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:rsidR="006359F1" w:rsidRDefault="006359F1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Otwarta 11 czerwca br. wystawa artefaktów związanych z Troją w rzymskim Koloseum stała się jednym z najważniejszych międzynarodowych przedsięwzięć poświęconych temu starożytnemu miastu</w:t>
      </w:r>
      <w:r w:rsidR="003621DF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 ostatnich latach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W przestrzeni jednego z najbardziej rozpoznawalnych zabytków kultury na świecie zaprezentowano 221 eksponatów pochodzących z 19 muzeów w </w:t>
      </w:r>
      <w:proofErr w:type="spellStart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(Turcji), w tym z Muzeum Troi w </w:t>
      </w:r>
      <w:r w:rsidR="0011058C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prowincji </w:t>
      </w:r>
      <w:proofErr w:type="spellStart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Çanakkale</w:t>
      </w:r>
      <w:proofErr w:type="spell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Wśród nich znalazło się 50 obiektów nigdy wcześniej niewystawianych we Włoszech. Ekspozycję uzupełnia także 80 </w:t>
      </w:r>
      <w:r w:rsidR="007C2615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artefaktów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52166E" w:rsidRPr="008E7BA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pochodzących</w:t>
      </w:r>
      <w:r w:rsid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 włoskich kolekcji muzealnych. Wystawa, która wzbudziła duże zainteresowanie międzynarodowej publiczności, stanowi wyjątkową oka</w:t>
      </w:r>
      <w:r w:rsidR="00EA5B0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zję do </w:t>
      </w:r>
      <w:r w:rsidR="00EA5B00" w:rsidRPr="00EA5B0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zaprezentowania </w:t>
      </w:r>
      <w:r w:rsidR="00017020" w:rsidRPr="00EA5B0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bogatego </w:t>
      </w:r>
      <w:r w:rsidRPr="00EA5B0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dziedzictwa</w:t>
      </w:r>
      <w:r w:rsid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archeologicznego Troi i 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potwierdza jej </w:t>
      </w:r>
      <w:proofErr w:type="gramStart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status jako</w:t>
      </w:r>
      <w:proofErr w:type="gram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dobra kultury o uniwersalnym znaczeniu.</w:t>
      </w:r>
    </w:p>
    <w:p w:rsidR="0052166E" w:rsidRDefault="0052166E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:rsidR="006359F1" w:rsidRDefault="003621DF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Oprócz </w:t>
      </w:r>
      <w:r w:rsidR="006359F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tej prestiżowej ekspozycji organizowane są również wydarzenia </w:t>
      </w:r>
      <w:r w:rsidR="00F1233E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kulturalne i naukowe </w:t>
      </w:r>
      <w:r w:rsidR="006359F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 różnych częściach świata, dzięki którym historia Troi dociera do kolejnych odbiorców. </w:t>
      </w:r>
      <w:r w:rsidR="001B4CE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 </w:t>
      </w:r>
      <w:r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konferencji i wystawie fotografii zorganizowanych w Turkish House w Nowym Jorku, kolejne wydarzenia odbędą się w Niderlandach. </w:t>
      </w:r>
      <w:r w:rsidR="006359F1" w:rsidRPr="00842095">
        <w:rPr>
          <w:rFonts w:eastAsiaTheme="minorHAnsi"/>
          <w:strike/>
          <w:kern w:val="2"/>
          <w:sz w:val="24"/>
          <w:szCs w:val="24"/>
          <w:lang w:eastAsia="en-US"/>
          <w14:ligatures w14:val="standardContextual"/>
        </w:rPr>
        <w:t>Już</w:t>
      </w:r>
      <w:r w:rsidR="006359F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28 cze</w:t>
      </w:r>
      <w:r w:rsidR="001B4CE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rwca w Instytucie </w:t>
      </w:r>
      <w:proofErr w:type="spellStart"/>
      <w:r w:rsidR="001B4CE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Yunusa</w:t>
      </w:r>
      <w:proofErr w:type="spellEnd"/>
      <w:r w:rsidR="001B4CE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1B4CE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Emre</w:t>
      </w:r>
      <w:proofErr w:type="spellEnd"/>
      <w:r w:rsidR="001B4CE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 </w:t>
      </w:r>
      <w:r w:rsidR="006359F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Amsterdamie </w:t>
      </w:r>
      <w:r w:rsidR="008E7BAB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została</w:t>
      </w:r>
      <w:r w:rsidR="006359F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otwarta wystawa fotograficzna poświęcona Troi, a dzień później profesor </w:t>
      </w:r>
      <w:proofErr w:type="spellStart"/>
      <w:r w:rsidR="006359F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Rüstem</w:t>
      </w:r>
      <w:proofErr w:type="spellEnd"/>
      <w:r w:rsidR="006359F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6359F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Aslan</w:t>
      </w:r>
      <w:proofErr w:type="spellEnd"/>
      <w:r w:rsidR="006359F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kierujący pracami na stanowisku </w:t>
      </w:r>
      <w:r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archeologicznym </w:t>
      </w:r>
      <w:r w:rsidR="006359F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 Troi, wygłosi</w:t>
      </w:r>
      <w:r w:rsidR="008E7BAB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ł</w:t>
      </w:r>
      <w:r w:rsidR="006359F1"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wykład na Uniwersytecie w Lejdzie. </w:t>
      </w:r>
      <w:r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 planach są również kolejne międzynarodowe wydarzenia. Konferencje i wystawy przybliżają historię Troi szerokiej publiczności, jednak prawdziwe doświadczenie tego miejsca możliwe jest dopiero podczas wizyty na stanowisku archeologicznym. Położona zaledwie 30 kilometrów od centrum </w:t>
      </w:r>
      <w:proofErr w:type="spellStart"/>
      <w:r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Çanakkale</w:t>
      </w:r>
      <w:proofErr w:type="spellEnd"/>
      <w:r w:rsidRP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Troja pozostaje jednym z najważniejszych świadectw starożytnej historii regionu.</w:t>
      </w:r>
    </w:p>
    <w:p w:rsidR="00110B2D" w:rsidRDefault="00110B2D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:rsidR="00A711A7" w:rsidRPr="00A711A7" w:rsidRDefault="00A711A7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A711A7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Podróż </w:t>
      </w:r>
      <w:r w:rsidR="003621D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łącząca</w:t>
      </w:r>
      <w:r w:rsidR="00287E1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naturę, dziedzictwo i </w:t>
      </w:r>
      <w:r w:rsidR="003621D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świat mitów</w:t>
      </w:r>
    </w:p>
    <w:p w:rsidR="00230179" w:rsidRPr="00230179" w:rsidRDefault="00230179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Çanakkale</w:t>
      </w:r>
      <w:proofErr w:type="spell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położone </w:t>
      </w:r>
      <w:r w:rsidR="00287E18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 północnych wrót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1B4CE1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Morza Egejskiego, </w:t>
      </w:r>
      <w:r w:rsidR="00F94BE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u wejścia do 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Cieśniny </w:t>
      </w:r>
      <w:proofErr w:type="spellStart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Çanakkale</w:t>
      </w:r>
      <w:proofErr w:type="spell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(znanej </w:t>
      </w:r>
      <w:proofErr w:type="gramStart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również jako</w:t>
      </w:r>
      <w:proofErr w:type="gram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Dardanele), oferuje szeroki wachlarz a</w:t>
      </w:r>
      <w:r w:rsidR="009D12B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trakcji – od słonecznych plaż i 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sportów wodnych po malownicze pola namiotowe, trasy rowerowe i </w:t>
      </w:r>
      <w:r w:rsidR="00F94BE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butikowe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szlaki 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winiarskie. Region ten pozwala również </w:t>
      </w:r>
      <w:r w:rsidR="00F94BE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podążać śladami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Bitwy o </w:t>
      </w:r>
      <w:proofErr w:type="spellStart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Çanakkale</w:t>
      </w:r>
      <w:proofErr w:type="spell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znanej </w:t>
      </w:r>
      <w:proofErr w:type="gramStart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także jako</w:t>
      </w:r>
      <w:proofErr w:type="gram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kampania </w:t>
      </w:r>
      <w:proofErr w:type="spellStart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gallipolijska</w:t>
      </w:r>
      <w:proofErr w:type="spell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lub dardanelska</w:t>
      </w:r>
      <w:r w:rsidR="00F94BE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która rozegrała się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podczas I wojny światowej. Mił</w:t>
      </w:r>
      <w:r w:rsidR="00F94BE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ośnicy historii mogą nawet 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zanurkować pod wodę, by zobaczyć wraki statków spoczywające na dnie od czasów konfliktu. </w:t>
      </w:r>
      <w:r w:rsidR="00017020" w:rsidRPr="00DF5B6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Ponadto w</w:t>
      </w:r>
      <w:r w:rsidR="00DF5B64" w:rsidRPr="00DF5B6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okolicy</w:t>
      </w:r>
      <w:r w:rsidR="00DF5B6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warto 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odwiedzić zielone zbocza góry Ida, krystalicznie czyste </w:t>
      </w:r>
      <w:r w:rsidR="00F94BE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wody u wybrzeży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Assos </w:t>
      </w:r>
      <w:r w:rsidR="001B4CE1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oraz </w:t>
      </w:r>
      <w:r w:rsidR="009872BB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odkryć niepowtarzalny urok wysp </w:t>
      </w:r>
      <w:proofErr w:type="spellStart"/>
      <w:r w:rsidR="009872BB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Bozcaada</w:t>
      </w:r>
      <w:proofErr w:type="spellEnd"/>
      <w:r w:rsidR="009872BB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i </w:t>
      </w:r>
      <w:proofErr w:type="spellStart"/>
      <w:r w:rsidR="009872BB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Gökçeada</w:t>
      </w:r>
      <w:proofErr w:type="spell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</w:p>
    <w:p w:rsidR="00230179" w:rsidRPr="00A711A7" w:rsidRDefault="00230179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:rsidR="009872BB" w:rsidRPr="00EF04B8" w:rsidRDefault="00230179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Jedną z największych atrakcji miasta</w:t>
      </w:r>
      <w:r w:rsidR="00EF04B8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bez wątpienia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jest Troja, a stojący w jego centrum drewniany koń nawiązuje do jej najsłynniejszego mitu i stanowi symbol tego miejsca, które od lat przyciąga podróżników z całego świata.</w:t>
      </w:r>
    </w:p>
    <w:p w:rsidR="009872BB" w:rsidRPr="00A711A7" w:rsidRDefault="009872BB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:rsidR="00A711A7" w:rsidRPr="00A711A7" w:rsidRDefault="003E0454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Troja: kolejne warstwy </w:t>
      </w:r>
      <w:r w:rsidR="001126CC" w:rsidRPr="001B4CE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cywilizacji</w:t>
      </w:r>
    </w:p>
    <w:p w:rsidR="00EF04B8" w:rsidRPr="00A711A7" w:rsidRDefault="00A711A7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Zaledwie </w:t>
      </w:r>
      <w:r w:rsidR="001B4CE1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krótka przejażdżka </w:t>
      </w:r>
      <w:r w:rsidR="001126CC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 </w:t>
      </w:r>
      <w:r w:rsidR="003E0454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centrum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Çanakkale</w:t>
      </w:r>
      <w:proofErr w:type="spell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dzieli turystów od Troi, która zaprasza miłośników kultury do wędrówki przez swój wielowarstwowy teren, oferując rzadką możliwość obserwowania historii niczym </w:t>
      </w:r>
      <w:r w:rsidR="000D2E3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na 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osi czasu. Położona we wsi </w:t>
      </w:r>
      <w:proofErr w:type="spellStart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Tevfikiye</w:t>
      </w:r>
      <w:proofErr w:type="spell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Troja jest znana</w:t>
      </w:r>
      <w:r w:rsidR="00BB13BC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gramStart"/>
      <w:r w:rsidR="00BB13BC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głównie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jako</w:t>
      </w:r>
      <w:proofErr w:type="gram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miasto, które zainspirowało Homera do napisania epickiego poematu „Iliada”. </w:t>
      </w:r>
      <w:r w:rsidR="00DD36FF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Mimo że wojna trojańska na zawsze </w:t>
      </w:r>
      <w:r w:rsidR="00DD36FF" w:rsidRPr="00F1233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zakorzeniła </w:t>
      </w:r>
      <w:r w:rsidR="00DD36FF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Troję w naszej pamięci, miasto stanowiło kolebkę wielu kultur na długo przed narodzinami mitu.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Dziś wpisane na Listę Światowego Dziedzictwa UNESCO stanowisko archeologiczne ukazuje 5000 lat nieprzerwanego osadnictwa, obejmującego dziesięć </w:t>
      </w:r>
      <w:r w:rsidR="00BF0168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odrębnych warstw </w:t>
      </w:r>
      <w:r w:rsidR="001B4CE1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</w:t>
      </w:r>
      <w:r w:rsidR="00BF0168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 ich liczba wciąż wzrasta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) od wczesnej epoki brązu po okres Cesarstwa </w:t>
      </w:r>
      <w:proofErr w:type="spellStart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Wschodniorzymskiego</w:t>
      </w:r>
      <w:proofErr w:type="spellEnd"/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</w:p>
    <w:p w:rsidR="00A711A7" w:rsidRPr="00A711A7" w:rsidRDefault="00A711A7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:rsidR="00BB13BC" w:rsidRDefault="00BF0168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Przy wejściu </w:t>
      </w:r>
      <w:r w:rsidR="00BB13BC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na teren</w:t>
      </w:r>
      <w:r w:rsidR="00A711A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Troi odwiedzających wita monumentalny drewniany Koń Trojański. </w:t>
      </w:r>
      <w:r w:rsidR="009D12B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Już </w:t>
      </w:r>
      <w:r w:rsidR="00BB13BC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od tego miejsca turyści mogą rozpocząć spacer </w:t>
      </w:r>
      <w:r w:rsidR="00A711A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wśród dobrze zachowanych starożytnych kamiennych murów i ul</w:t>
      </w:r>
      <w:r w:rsidR="001B4CE1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ic, po których być może stąpały </w:t>
      </w:r>
      <w:r w:rsidR="00017020" w:rsidRPr="008A6F2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niegdyś </w:t>
      </w:r>
      <w:r w:rsidR="00E85710" w:rsidRPr="008A6F2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jedne z najwybitniejszych postaci</w:t>
      </w:r>
      <w:r w:rsidR="00A711A7" w:rsidRPr="008A6F2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trojańskich mitów.</w:t>
      </w:r>
    </w:p>
    <w:p w:rsidR="00A711A7" w:rsidRPr="00A711A7" w:rsidRDefault="00A711A7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:rsidR="00A711A7" w:rsidRDefault="00A711A7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Troja jest również ściśle związana z początkami Cesarstwa Rzymskiego poprzez legendę </w:t>
      </w:r>
      <w:r w:rsidR="009D12B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 </w:t>
      </w:r>
      <w:r w:rsidR="0014039A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Eneaszu</w:t>
      </w:r>
      <w:r w:rsidR="00B7293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B7293D" w:rsidRPr="00B7293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Zgodnie z</w:t>
      </w:r>
      <w:r w:rsidR="00234302" w:rsidRPr="00B7293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historią zawartą </w:t>
      </w:r>
      <w:r w:rsidRPr="00B7293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</w:t>
      </w:r>
      <w:r w:rsidR="00B7293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eposie</w:t>
      </w:r>
      <w:r w:rsidR="00234302" w:rsidRPr="00B7293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„Eneida</w:t>
      </w:r>
      <w:r w:rsidRPr="00B7293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”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Wergiliusza, książę Eneasz </w:t>
      </w:r>
      <w:r w:rsidR="009D12B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 </w:t>
      </w:r>
      <w:r w:rsidR="0014039A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upadku </w:t>
      </w:r>
      <w:r w:rsidR="0014039A"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swojego miasta </w:t>
      </w:r>
      <w:r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wyruszył w legendarną podróż w poszukiwaniu „No</w:t>
      </w:r>
      <w:r w:rsidR="00F1233E"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wej Troi”. Podążając trasą nazywaną</w:t>
      </w:r>
      <w:r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dziś </w:t>
      </w:r>
      <w:r w:rsidR="00F1233E"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przez historyków „</w:t>
      </w:r>
      <w:r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Szlak</w:t>
      </w:r>
      <w:r w:rsidR="00F1233E"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iem</w:t>
      </w:r>
      <w:r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Eneasza”, uznaną także przez Radę Europy za Europejski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Szlak Kulturowy, anatolijski książę dotarł ostatecznie do wybrzeży Lacjum, gdzie w 753 roku p.n.e.</w:t>
      </w:r>
      <w:r w:rsidR="00BB13BC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gramStart"/>
      <w:r w:rsidR="00BB13BC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jego</w:t>
      </w:r>
      <w:proofErr w:type="gramEnd"/>
      <w:r w:rsidR="00BB13BC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potomkowie mieli założyć Rzym.</w:t>
      </w:r>
    </w:p>
    <w:p w:rsidR="00E85710" w:rsidRDefault="00E85710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:rsidR="00BB13BC" w:rsidRPr="001B4CE1" w:rsidRDefault="00A711A7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Poza światem mitó</w:t>
      </w:r>
      <w:r w:rsidR="00B7293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 jedno </w:t>
      </w:r>
      <w:r w:rsidR="00B7293D" w:rsidRPr="00B7293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pozostaje pewne: Troja </w:t>
      </w:r>
      <w:r w:rsidR="00B7293D" w:rsidRPr="004148A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posiadając bogate korzenie, ciągłość osadniczą i globalny wpływ</w:t>
      </w:r>
      <w:r w:rsidRPr="004148A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B76192" w:rsidRPr="004148AF">
        <w:rPr>
          <w:sz w:val="24"/>
          <w:szCs w:val="24"/>
        </w:rPr>
        <w:t>u</w:t>
      </w:r>
      <w:r w:rsidR="001126CC" w:rsidRPr="004148AF">
        <w:rPr>
          <w:sz w:val="24"/>
          <w:szCs w:val="24"/>
        </w:rPr>
        <w:t>kształtowała fundamenty europejskiej kultury i literatury.</w:t>
      </w:r>
      <w:r w:rsidR="00B76192" w:rsidRPr="004148A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B13BC" w:rsidRPr="004148A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Dziś </w:t>
      </w:r>
      <w:r w:rsidR="00BB13BC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możliwość zobaczenia jej ruin – od fortyfikacji z </w:t>
      </w:r>
      <w:r w:rsidR="00BB13BC"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epoki brązu </w:t>
      </w:r>
      <w:r w:rsidR="009D12B7"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 </w:t>
      </w:r>
      <w:r w:rsidR="004148AF"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rzymski</w:t>
      </w:r>
      <w:r w:rsidR="0014039A"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Odeon i </w:t>
      </w:r>
      <w:r w:rsidR="0014039A" w:rsidRPr="0052166E">
        <w:rPr>
          <w:rFonts w:asciiTheme="minorHAnsi" w:hAnsiTheme="minorHAnsi" w:cstheme="minorHAnsi"/>
          <w:sz w:val="24"/>
          <w:szCs w:val="24"/>
          <w:shd w:val="clear" w:color="auto" w:fill="FFFFFF"/>
        </w:rPr>
        <w:t>Buleuterion</w:t>
      </w:r>
      <w:r w:rsidR="00BB13BC" w:rsidRPr="0052166E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B13BC" w:rsidRPr="0052166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– jest wyjątkowym doświadczeniem.</w:t>
      </w:r>
    </w:p>
    <w:p w:rsidR="00A711A7" w:rsidRPr="00A711A7" w:rsidRDefault="00A711A7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:rsidR="00A711A7" w:rsidRPr="00A711A7" w:rsidRDefault="00A711A7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A711A7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Nowoczesne Muzeu</w:t>
      </w:r>
      <w:r w:rsidR="00BB13BC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m: odkrywanie Troi poza r</w:t>
      </w:r>
      <w:r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uinami</w:t>
      </w:r>
    </w:p>
    <w:p w:rsidR="00A711A7" w:rsidRDefault="00BB13BC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Atrakcje</w:t>
      </w:r>
      <w:r w:rsidR="0014039A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Troi nie 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ograniczają</w:t>
      </w:r>
      <w:r w:rsidR="00A711A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się wyłącznie do samego st</w:t>
      </w:r>
      <w:r w:rsidR="009D12B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anowiska archeologicznego. Przy </w:t>
      </w:r>
      <w:r w:rsidR="00A711A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wejściu na teren 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obiektu </w:t>
      </w:r>
      <w:r w:rsidR="00A711A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znajduje się wielokrotnie nagradzane Muzeum Troi, którego prosta, a zarazem imponująca architektura zachęca odwiedzających do wzbogacenia swojej </w:t>
      </w:r>
      <w:r w:rsidR="0014039A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wyprawy przez historię</w:t>
      </w:r>
      <w:r w:rsidR="00A711A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poprzez </w:t>
      </w:r>
      <w:r w:rsidR="0014039A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poznanie</w:t>
      </w:r>
      <w:r w:rsidR="00A711A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archeologicznych skarbów odkrytych </w:t>
      </w:r>
      <w:r w:rsidR="0084209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na </w:t>
      </w:r>
      <w:r w:rsidR="00CE0FF4" w:rsidRPr="00B7293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stanowisku</w:t>
      </w:r>
      <w:r w:rsidR="00A711A7" w:rsidRPr="00B7293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  <w:r w:rsidR="00A711A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Łącząc przeszłość </w:t>
      </w:r>
      <w:r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tego miejsca</w:t>
      </w:r>
      <w:r w:rsidR="00A711A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ze współczesnymi odbiorcami, muzeum prezentuje wielowarstwową historię starożytnego miasta na trzech poziomach, wykorzystując nowoczesną i </w:t>
      </w:r>
      <w:r w:rsidR="003242F8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wciągającą</w:t>
      </w:r>
      <w:r w:rsidR="00A711A7" w:rsidRPr="001B4C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narrację.</w:t>
      </w:r>
    </w:p>
    <w:p w:rsidR="00A711A7" w:rsidRPr="007A7337" w:rsidRDefault="00A711A7" w:rsidP="00A711A7">
      <w:pPr>
        <w:pStyle w:val="Bezodstpw"/>
        <w:spacing w:line="220" w:lineRule="exact"/>
        <w:jc w:val="both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320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0"/>
      </w:tblGrid>
      <w:tr w:rsidR="00A711A7" w:rsidRPr="00A711A7" w:rsidTr="008B6A72">
        <w:trPr>
          <w:trHeight w:val="3130"/>
        </w:trPr>
        <w:tc>
          <w:tcPr>
            <w:tcW w:w="9320" w:type="dxa"/>
          </w:tcPr>
          <w:p w:rsidR="00A711A7" w:rsidRPr="007A7337" w:rsidRDefault="00A711A7" w:rsidP="008B6A72">
            <w:pPr>
              <w:pStyle w:val="Bezodstpw"/>
              <w:spacing w:line="220" w:lineRule="exact"/>
              <w:ind w:left="680"/>
              <w:jc w:val="both"/>
              <w:rPr>
                <w:rFonts w:ascii="Calibri" w:hAnsi="Calibri" w:cs="Calibri"/>
                <w:sz w:val="8"/>
                <w:szCs w:val="8"/>
                <w:lang w:val="pl-PL"/>
              </w:rPr>
            </w:pPr>
          </w:p>
          <w:p w:rsidR="00A711A7" w:rsidRDefault="007A7337" w:rsidP="00A711A7">
            <w:pPr>
              <w:pStyle w:val="Bezodstpw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B13BC">
              <w:rPr>
                <w:rFonts w:ascii="Calibri" w:hAnsi="Calibri" w:cs="Calibri"/>
                <w:b/>
                <w:bCs/>
                <w:lang w:val="pl-PL"/>
              </w:rPr>
              <w:t>Wskazówki dotyczące p</w:t>
            </w:r>
            <w:r w:rsidR="001B4CE1">
              <w:rPr>
                <w:rFonts w:ascii="Calibri" w:hAnsi="Calibri" w:cs="Calibri"/>
                <w:b/>
                <w:bCs/>
                <w:lang w:val="pl-PL"/>
              </w:rPr>
              <w:t>lanowania</w:t>
            </w:r>
            <w:r w:rsidR="00BB13BC" w:rsidRPr="00BB13BC">
              <w:rPr>
                <w:rFonts w:ascii="Calibri" w:hAnsi="Calibri" w:cs="Calibri"/>
                <w:b/>
                <w:bCs/>
                <w:lang w:val="pl-PL"/>
              </w:rPr>
              <w:t xml:space="preserve"> p</w:t>
            </w:r>
            <w:r w:rsidR="00BB13BC">
              <w:rPr>
                <w:rFonts w:ascii="Calibri" w:hAnsi="Calibri" w:cs="Calibri"/>
                <w:b/>
                <w:bCs/>
                <w:lang w:val="pl-PL"/>
              </w:rPr>
              <w:t>odróży</w:t>
            </w:r>
          </w:p>
          <w:p w:rsidR="00BB13BC" w:rsidRPr="00BB13BC" w:rsidRDefault="00BB13BC" w:rsidP="00A711A7">
            <w:pPr>
              <w:pStyle w:val="Bezodstpw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  <w:p w:rsidR="00A711A7" w:rsidRDefault="00BB13BC" w:rsidP="00A7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000D9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Jak dotrzeć:</w:t>
            </w:r>
            <w:r w:rsidRPr="00BB13B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Z</w:t>
            </w:r>
            <w:r w:rsidR="00C000D9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e</w:t>
            </w:r>
            <w:r w:rsidRPr="00BB13B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Stambułu do </w:t>
            </w:r>
            <w:proofErr w:type="spellStart"/>
            <w:r w:rsidRPr="00BB13B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Çanakkale</w:t>
            </w:r>
            <w:proofErr w:type="spellEnd"/>
            <w:r w:rsidRPr="00BB13B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odbywają się codzienne </w:t>
            </w:r>
            <w:proofErr w:type="gramStart"/>
            <w:r w:rsidRPr="00BB13B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loty. </w:t>
            </w:r>
            <w:proofErr w:type="gramEnd"/>
            <w:r w:rsidRPr="00BB13B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Do Troi </w:t>
            </w:r>
            <w:r w:rsidR="00C000D9" w:rsidRPr="00BB13B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ze Stambułu </w:t>
            </w:r>
            <w:r w:rsidRPr="00BB13B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można również dotrzeć samochodem</w:t>
            </w:r>
            <w:r w:rsidR="00C000D9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B13B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– podróż trwa kilka godzin i prowadzi przez malownicze trasy.</w:t>
            </w:r>
          </w:p>
          <w:p w:rsidR="00BB13BC" w:rsidRPr="00A711A7" w:rsidRDefault="00BB13BC" w:rsidP="00A7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:rsidR="00A711A7" w:rsidRPr="00A711A7" w:rsidRDefault="00A711A7" w:rsidP="00A7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11A7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Gdzie się zatrzymać: </w:t>
            </w:r>
            <w:proofErr w:type="spellStart"/>
            <w:r w:rsidRPr="00A711A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Çanakkale</w:t>
            </w:r>
            <w:proofErr w:type="spellEnd"/>
            <w:r w:rsidRPr="00A711A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oferuje szeroki wybór miejsc noclegowych – od hoteli sieciowych po kameralne butikowe</w:t>
            </w:r>
            <w:r w:rsidR="00C000D9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gramStart"/>
            <w:r w:rsidR="00C000D9" w:rsidRPr="00A711A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obiekty</w:t>
            </w:r>
            <w:r w:rsidRPr="00A711A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</w:t>
            </w:r>
            <w:proofErr w:type="gramEnd"/>
            <w:r w:rsidRPr="00A711A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Dla bardziej autentycznych doświadczeń warto zatrzymać się w urokliwej wsi </w:t>
            </w:r>
            <w:proofErr w:type="spellStart"/>
            <w:r w:rsidRPr="00A711A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Tevfikiye</w:t>
            </w:r>
            <w:proofErr w:type="spellEnd"/>
            <w:r w:rsidRPr="00A711A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, najbliższej osadzie położonej przy Troi, gdzie przytulne rodzinne pensjonaty dają możliwość poznania lokalnej gościnności.</w:t>
            </w:r>
          </w:p>
          <w:p w:rsidR="00A711A7" w:rsidRPr="00A711A7" w:rsidRDefault="00A711A7" w:rsidP="00A7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:rsidR="00A711A7" w:rsidRPr="001B4CE1" w:rsidRDefault="00A711A7" w:rsidP="00A7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11A7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Co robić: </w:t>
            </w:r>
            <w:r w:rsidRPr="00A711A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Starożytne miasto Troja stan</w:t>
            </w:r>
            <w:r w:rsidRPr="001B4CE1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owi również część </w:t>
            </w:r>
            <w:r w:rsidR="00B17FA0" w:rsidRPr="001B4CE1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Trojańskiego Szlaku </w:t>
            </w:r>
            <w:proofErr w:type="gramStart"/>
            <w:r w:rsidR="00B17FA0" w:rsidRPr="001B4CE1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Winnego</w:t>
            </w:r>
            <w:r w:rsidRPr="001B4CE1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</w:t>
            </w:r>
            <w:proofErr w:type="gramEnd"/>
            <w:r w:rsidRPr="001B4CE1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Rozciągająca się od Gallipoli przez </w:t>
            </w:r>
            <w:proofErr w:type="spellStart"/>
            <w:r w:rsidRPr="001B4CE1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Eceabat</w:t>
            </w:r>
            <w:proofErr w:type="spellEnd"/>
            <w:r w:rsidRPr="001B4CE1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i Troję aż po malowniczą wyspę </w:t>
            </w:r>
            <w:proofErr w:type="spellStart"/>
            <w:r w:rsidRPr="001B4CE1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Bozcaada</w:t>
            </w:r>
            <w:proofErr w:type="spellEnd"/>
            <w:r w:rsidRPr="001B4CE1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trasa zachęca podróżnych do odkrywania bogatych tradycji winiarskich regionu.</w:t>
            </w:r>
          </w:p>
          <w:p w:rsidR="00A711A7" w:rsidRPr="001B4CE1" w:rsidRDefault="00A711A7" w:rsidP="00A7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:rsidR="00A711A7" w:rsidRPr="00A711A7" w:rsidRDefault="00A711A7" w:rsidP="00A7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7293D">
              <w:rPr>
                <w:rFonts w:eastAsiaTheme="minorHAns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Czego spróbować: </w:t>
            </w:r>
            <w:proofErr w:type="spellStart"/>
            <w:r w:rsidRPr="00B7293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Çanakkale</w:t>
            </w:r>
            <w:proofErr w:type="spellEnd"/>
            <w:r w:rsidRPr="00B7293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słynie również z bogactwa kulinarnych specjałów, które doskonale komponują się z lokalnymi </w:t>
            </w:r>
            <w:proofErr w:type="gramStart"/>
            <w:r w:rsidRPr="00B7293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winami. </w:t>
            </w:r>
            <w:proofErr w:type="gramEnd"/>
            <w:r w:rsidRPr="00B7293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Od cenionego sera </w:t>
            </w:r>
            <w:proofErr w:type="spellStart"/>
            <w:r w:rsidRPr="00B7293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Ezine</w:t>
            </w:r>
            <w:proofErr w:type="spellEnd"/>
            <w:r w:rsidRPr="00B7293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i </w:t>
            </w:r>
            <w:r w:rsidR="00063035" w:rsidRPr="00B7293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dań z </w:t>
            </w:r>
            <w:r w:rsidRPr="00B7293D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warzyw przygotowywanych z wykorzystaniem lokalnie produkowanej oliwy z oliwek po świeże owoce</w:t>
            </w:r>
            <w:r w:rsidRPr="001B4CE1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morza – szczególnie sardynki z Dardaneli i Zatoki Saros – region oferuje odwiedzającym niezapomniane </w:t>
            </w:r>
            <w:r w:rsidR="00214C4E" w:rsidRPr="001B4CE1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doznania kulinarne</w:t>
            </w:r>
            <w:r w:rsidRPr="001B4CE1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  <w:p w:rsidR="00A711A7" w:rsidRPr="00A711A7" w:rsidRDefault="00A711A7" w:rsidP="008B6A72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</w:p>
        </w:tc>
      </w:tr>
    </w:tbl>
    <w:p w:rsidR="00A711A7" w:rsidRDefault="00A711A7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D12B7" w:rsidRPr="007A7337" w:rsidRDefault="009D12B7" w:rsidP="00A711A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C0378" w:rsidRPr="00A94BCC" w:rsidRDefault="00EC0378" w:rsidP="00A94BC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94BCC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:rsidR="00EC0378" w:rsidRPr="00A94BCC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94BCC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:rsidR="00EC0378" w:rsidRPr="00463969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463969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463969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r w:rsidR="00B85354">
        <w:fldChar w:fldCharType="begin"/>
      </w:r>
      <w:r w:rsidR="00B85354" w:rsidRPr="00463969">
        <w:rPr>
          <w:lang w:val="en-GB"/>
        </w:rPr>
        <w:instrText xml:space="preserve"> HYPERLINK "mailto:e.potocka@synertime.pl" </w:instrText>
      </w:r>
      <w:r w:rsidR="00B85354">
        <w:fldChar w:fldCharType="separate"/>
      </w:r>
      <w:r w:rsidRPr="00463969">
        <w:rPr>
          <w:rStyle w:val="Hipercze"/>
          <w:rFonts w:asciiTheme="minorHAnsi" w:hAnsiTheme="minorHAnsi" w:cstheme="minorHAnsi"/>
          <w:bCs/>
          <w:sz w:val="18"/>
          <w:szCs w:val="18"/>
          <w:lang w:val="en-GB"/>
        </w:rPr>
        <w:t>e.potocka@synertime.pl</w:t>
      </w:r>
      <w:r w:rsidR="00B85354">
        <w:rPr>
          <w:rStyle w:val="Hipercze"/>
          <w:rFonts w:asciiTheme="minorHAnsi" w:hAnsiTheme="minorHAnsi" w:cstheme="minorHAnsi"/>
          <w:bCs/>
          <w:sz w:val="18"/>
          <w:szCs w:val="18"/>
        </w:rPr>
        <w:fldChar w:fldCharType="end"/>
      </w:r>
    </w:p>
    <w:p w:rsidR="00874284" w:rsidRDefault="00EC0378" w:rsidP="00A711A7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A94BCC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A94BCC">
        <w:rPr>
          <w:rFonts w:asciiTheme="minorHAnsi" w:hAnsiTheme="minorHAnsi" w:cstheme="minorHAnsi"/>
          <w:bCs/>
          <w:sz w:val="18"/>
          <w:szCs w:val="18"/>
        </w:rPr>
        <w:t>: 668 132</w:t>
      </w:r>
      <w:r w:rsidR="00874284">
        <w:rPr>
          <w:rFonts w:asciiTheme="minorHAnsi" w:hAnsiTheme="minorHAnsi" w:cstheme="minorHAnsi"/>
          <w:bCs/>
          <w:sz w:val="18"/>
          <w:szCs w:val="18"/>
        </w:rPr>
        <w:t> </w:t>
      </w:r>
      <w:r w:rsidRPr="00A94BCC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87428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354" w:rsidRDefault="00B85354">
      <w:pPr>
        <w:spacing w:after="0" w:line="240" w:lineRule="auto"/>
      </w:pPr>
      <w:r>
        <w:separator/>
      </w:r>
    </w:p>
  </w:endnote>
  <w:endnote w:type="continuationSeparator" w:id="0">
    <w:p w:rsidR="00B85354" w:rsidRDefault="00B8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354" w:rsidRDefault="00B85354">
      <w:pPr>
        <w:spacing w:after="0" w:line="240" w:lineRule="auto"/>
      </w:pPr>
      <w:r>
        <w:separator/>
      </w:r>
    </w:p>
  </w:footnote>
  <w:footnote w:type="continuationSeparator" w:id="0">
    <w:p w:rsidR="00B85354" w:rsidRDefault="00B8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066D5DC" wp14:editId="34273D40">
          <wp:simplePos x="0" y="0"/>
          <wp:positionH relativeFrom="column">
            <wp:posOffset>3938905</wp:posOffset>
          </wp:positionH>
          <wp:positionV relativeFrom="paragraph">
            <wp:posOffset>-231775</wp:posOffset>
          </wp:positionV>
          <wp:extent cx="1895475" cy="1019175"/>
          <wp:effectExtent l="0" t="0" r="9525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16FF0" w:rsidRDefault="000574B6" w:rsidP="001B4C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463969">
      <w:rPr>
        <w:color w:val="000000"/>
      </w:rPr>
      <w:t>13.</w:t>
    </w:r>
    <w:r w:rsidR="00E91F58">
      <w:rPr>
        <w:color w:val="000000"/>
      </w:rPr>
      <w:t>07</w:t>
    </w:r>
    <w:r w:rsidR="0044537B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17020"/>
    <w:rsid w:val="00036B8F"/>
    <w:rsid w:val="000422C3"/>
    <w:rsid w:val="000557B7"/>
    <w:rsid w:val="000574B6"/>
    <w:rsid w:val="00063035"/>
    <w:rsid w:val="00085F3D"/>
    <w:rsid w:val="000A2CDC"/>
    <w:rsid w:val="000A5B8F"/>
    <w:rsid w:val="000A769C"/>
    <w:rsid w:val="000B2FAE"/>
    <w:rsid w:val="000B54F0"/>
    <w:rsid w:val="000C747F"/>
    <w:rsid w:val="000D2E37"/>
    <w:rsid w:val="000D38A0"/>
    <w:rsid w:val="000D3B1D"/>
    <w:rsid w:val="000D66BA"/>
    <w:rsid w:val="000F038E"/>
    <w:rsid w:val="000F19DF"/>
    <w:rsid w:val="000F586B"/>
    <w:rsid w:val="000F7EAB"/>
    <w:rsid w:val="0011058C"/>
    <w:rsid w:val="00110B2D"/>
    <w:rsid w:val="001126CC"/>
    <w:rsid w:val="00113296"/>
    <w:rsid w:val="00115344"/>
    <w:rsid w:val="00123485"/>
    <w:rsid w:val="00125C6B"/>
    <w:rsid w:val="00135753"/>
    <w:rsid w:val="0014039A"/>
    <w:rsid w:val="001567C9"/>
    <w:rsid w:val="00172B82"/>
    <w:rsid w:val="001A1C43"/>
    <w:rsid w:val="001B4CE1"/>
    <w:rsid w:val="001C1FBD"/>
    <w:rsid w:val="001C3D58"/>
    <w:rsid w:val="001D153B"/>
    <w:rsid w:val="001F28DF"/>
    <w:rsid w:val="001F677F"/>
    <w:rsid w:val="00203555"/>
    <w:rsid w:val="00214C4E"/>
    <w:rsid w:val="00230179"/>
    <w:rsid w:val="00234302"/>
    <w:rsid w:val="00251DAF"/>
    <w:rsid w:val="002673B9"/>
    <w:rsid w:val="00275395"/>
    <w:rsid w:val="0028109B"/>
    <w:rsid w:val="00287E18"/>
    <w:rsid w:val="002934BE"/>
    <w:rsid w:val="00293A7A"/>
    <w:rsid w:val="0029528E"/>
    <w:rsid w:val="00297488"/>
    <w:rsid w:val="002B4AF9"/>
    <w:rsid w:val="002B5543"/>
    <w:rsid w:val="002B7FDD"/>
    <w:rsid w:val="002C7526"/>
    <w:rsid w:val="002E1384"/>
    <w:rsid w:val="002E1DE8"/>
    <w:rsid w:val="00302B9D"/>
    <w:rsid w:val="003136B0"/>
    <w:rsid w:val="003168E2"/>
    <w:rsid w:val="003242F8"/>
    <w:rsid w:val="00332252"/>
    <w:rsid w:val="003336E3"/>
    <w:rsid w:val="0033551A"/>
    <w:rsid w:val="0033610B"/>
    <w:rsid w:val="00336934"/>
    <w:rsid w:val="0034079B"/>
    <w:rsid w:val="00345C0B"/>
    <w:rsid w:val="0034798F"/>
    <w:rsid w:val="003621DF"/>
    <w:rsid w:val="003761F9"/>
    <w:rsid w:val="00376BC3"/>
    <w:rsid w:val="003819A7"/>
    <w:rsid w:val="00395638"/>
    <w:rsid w:val="003B6553"/>
    <w:rsid w:val="003C09BA"/>
    <w:rsid w:val="003D6C46"/>
    <w:rsid w:val="003E0454"/>
    <w:rsid w:val="003E0FC8"/>
    <w:rsid w:val="003E4909"/>
    <w:rsid w:val="003F41D5"/>
    <w:rsid w:val="004037C3"/>
    <w:rsid w:val="004122D6"/>
    <w:rsid w:val="004148AF"/>
    <w:rsid w:val="0043098B"/>
    <w:rsid w:val="0044537B"/>
    <w:rsid w:val="00454A56"/>
    <w:rsid w:val="0046107E"/>
    <w:rsid w:val="00463969"/>
    <w:rsid w:val="00465B5A"/>
    <w:rsid w:val="004830A8"/>
    <w:rsid w:val="00483E3E"/>
    <w:rsid w:val="0049125D"/>
    <w:rsid w:val="004A283D"/>
    <w:rsid w:val="004B55A1"/>
    <w:rsid w:val="004C140A"/>
    <w:rsid w:val="004C5BD6"/>
    <w:rsid w:val="004D0BF9"/>
    <w:rsid w:val="004D7A54"/>
    <w:rsid w:val="004E2E19"/>
    <w:rsid w:val="004E4DEE"/>
    <w:rsid w:val="004F67A1"/>
    <w:rsid w:val="0052166E"/>
    <w:rsid w:val="00522368"/>
    <w:rsid w:val="00522691"/>
    <w:rsid w:val="00525771"/>
    <w:rsid w:val="00530823"/>
    <w:rsid w:val="005319A9"/>
    <w:rsid w:val="005330AD"/>
    <w:rsid w:val="0056359E"/>
    <w:rsid w:val="00564870"/>
    <w:rsid w:val="00577226"/>
    <w:rsid w:val="00593F5A"/>
    <w:rsid w:val="005A15E4"/>
    <w:rsid w:val="005A4E2A"/>
    <w:rsid w:val="005B39BB"/>
    <w:rsid w:val="005C48A3"/>
    <w:rsid w:val="005D0819"/>
    <w:rsid w:val="005F1A4F"/>
    <w:rsid w:val="005F504F"/>
    <w:rsid w:val="00602570"/>
    <w:rsid w:val="006114F5"/>
    <w:rsid w:val="00620A4C"/>
    <w:rsid w:val="006359F1"/>
    <w:rsid w:val="00672D9E"/>
    <w:rsid w:val="00677DA0"/>
    <w:rsid w:val="0068243F"/>
    <w:rsid w:val="00696E7B"/>
    <w:rsid w:val="006A3070"/>
    <w:rsid w:val="006A3DF1"/>
    <w:rsid w:val="006A5471"/>
    <w:rsid w:val="006B775C"/>
    <w:rsid w:val="006C55B0"/>
    <w:rsid w:val="006D680D"/>
    <w:rsid w:val="0070502A"/>
    <w:rsid w:val="00705210"/>
    <w:rsid w:val="00707149"/>
    <w:rsid w:val="00731609"/>
    <w:rsid w:val="00735399"/>
    <w:rsid w:val="00737654"/>
    <w:rsid w:val="00741CEF"/>
    <w:rsid w:val="00761851"/>
    <w:rsid w:val="00761C53"/>
    <w:rsid w:val="00763291"/>
    <w:rsid w:val="00764ADB"/>
    <w:rsid w:val="00775B74"/>
    <w:rsid w:val="00777E5E"/>
    <w:rsid w:val="0078606F"/>
    <w:rsid w:val="00793E00"/>
    <w:rsid w:val="007A2D25"/>
    <w:rsid w:val="007A7337"/>
    <w:rsid w:val="007B0934"/>
    <w:rsid w:val="007B2215"/>
    <w:rsid w:val="007B6E62"/>
    <w:rsid w:val="007C2615"/>
    <w:rsid w:val="007D12F5"/>
    <w:rsid w:val="007D43CC"/>
    <w:rsid w:val="00806B57"/>
    <w:rsid w:val="008108E3"/>
    <w:rsid w:val="0081608B"/>
    <w:rsid w:val="008224FE"/>
    <w:rsid w:val="00842095"/>
    <w:rsid w:val="00851466"/>
    <w:rsid w:val="00871903"/>
    <w:rsid w:val="00874284"/>
    <w:rsid w:val="00876BB2"/>
    <w:rsid w:val="008A6F27"/>
    <w:rsid w:val="008A7E5B"/>
    <w:rsid w:val="008E7BAB"/>
    <w:rsid w:val="008F74E6"/>
    <w:rsid w:val="0091259C"/>
    <w:rsid w:val="00914A15"/>
    <w:rsid w:val="00915D08"/>
    <w:rsid w:val="00916ACE"/>
    <w:rsid w:val="009252FF"/>
    <w:rsid w:val="00936724"/>
    <w:rsid w:val="00942908"/>
    <w:rsid w:val="00946AF0"/>
    <w:rsid w:val="00950E1E"/>
    <w:rsid w:val="0096628E"/>
    <w:rsid w:val="009807E6"/>
    <w:rsid w:val="009872BB"/>
    <w:rsid w:val="009924C3"/>
    <w:rsid w:val="00996B9C"/>
    <w:rsid w:val="009A1091"/>
    <w:rsid w:val="009A1368"/>
    <w:rsid w:val="009B0318"/>
    <w:rsid w:val="009C0358"/>
    <w:rsid w:val="009C6DA5"/>
    <w:rsid w:val="009D12B7"/>
    <w:rsid w:val="009D3397"/>
    <w:rsid w:val="009D4480"/>
    <w:rsid w:val="009F070C"/>
    <w:rsid w:val="00A06958"/>
    <w:rsid w:val="00A22063"/>
    <w:rsid w:val="00A249E3"/>
    <w:rsid w:val="00A26929"/>
    <w:rsid w:val="00A315D3"/>
    <w:rsid w:val="00A334F6"/>
    <w:rsid w:val="00A527A2"/>
    <w:rsid w:val="00A711A7"/>
    <w:rsid w:val="00A75F73"/>
    <w:rsid w:val="00A94BCC"/>
    <w:rsid w:val="00AC6FFC"/>
    <w:rsid w:val="00AD17A0"/>
    <w:rsid w:val="00AE1D38"/>
    <w:rsid w:val="00B0073F"/>
    <w:rsid w:val="00B13A6C"/>
    <w:rsid w:val="00B17FA0"/>
    <w:rsid w:val="00B33543"/>
    <w:rsid w:val="00B412C0"/>
    <w:rsid w:val="00B4254B"/>
    <w:rsid w:val="00B5229F"/>
    <w:rsid w:val="00B538B0"/>
    <w:rsid w:val="00B66E47"/>
    <w:rsid w:val="00B7293D"/>
    <w:rsid w:val="00B7373D"/>
    <w:rsid w:val="00B76192"/>
    <w:rsid w:val="00B85354"/>
    <w:rsid w:val="00B921B1"/>
    <w:rsid w:val="00BA14EA"/>
    <w:rsid w:val="00BB05DA"/>
    <w:rsid w:val="00BB13BC"/>
    <w:rsid w:val="00BC6494"/>
    <w:rsid w:val="00BE624D"/>
    <w:rsid w:val="00BF0168"/>
    <w:rsid w:val="00BF71B2"/>
    <w:rsid w:val="00C000D9"/>
    <w:rsid w:val="00C046D8"/>
    <w:rsid w:val="00C16FF0"/>
    <w:rsid w:val="00C50EC0"/>
    <w:rsid w:val="00C719E4"/>
    <w:rsid w:val="00C92206"/>
    <w:rsid w:val="00CC141C"/>
    <w:rsid w:val="00CC1963"/>
    <w:rsid w:val="00CD28A6"/>
    <w:rsid w:val="00CE0FF4"/>
    <w:rsid w:val="00CF3942"/>
    <w:rsid w:val="00D21C52"/>
    <w:rsid w:val="00D264CE"/>
    <w:rsid w:val="00D333AE"/>
    <w:rsid w:val="00D40C84"/>
    <w:rsid w:val="00D46D0F"/>
    <w:rsid w:val="00D5030C"/>
    <w:rsid w:val="00D6760E"/>
    <w:rsid w:val="00D87428"/>
    <w:rsid w:val="00DA711D"/>
    <w:rsid w:val="00DD36FF"/>
    <w:rsid w:val="00DD3E6C"/>
    <w:rsid w:val="00DE3200"/>
    <w:rsid w:val="00DF5B64"/>
    <w:rsid w:val="00E00290"/>
    <w:rsid w:val="00E3292F"/>
    <w:rsid w:val="00E6106C"/>
    <w:rsid w:val="00E67FF7"/>
    <w:rsid w:val="00E85710"/>
    <w:rsid w:val="00E91F58"/>
    <w:rsid w:val="00E92EDF"/>
    <w:rsid w:val="00E950C9"/>
    <w:rsid w:val="00EA5B00"/>
    <w:rsid w:val="00EB1283"/>
    <w:rsid w:val="00EC0378"/>
    <w:rsid w:val="00EC0BF5"/>
    <w:rsid w:val="00EC738E"/>
    <w:rsid w:val="00ED2308"/>
    <w:rsid w:val="00ED4CF3"/>
    <w:rsid w:val="00ED77E1"/>
    <w:rsid w:val="00EF04B8"/>
    <w:rsid w:val="00F1233E"/>
    <w:rsid w:val="00F27B1D"/>
    <w:rsid w:val="00F5208B"/>
    <w:rsid w:val="00F52AE4"/>
    <w:rsid w:val="00F94BE7"/>
    <w:rsid w:val="00F97A34"/>
    <w:rsid w:val="00F97DEB"/>
    <w:rsid w:val="00FB46B8"/>
    <w:rsid w:val="00FB7859"/>
    <w:rsid w:val="00FC6723"/>
    <w:rsid w:val="00FD16C4"/>
    <w:rsid w:val="00FD3383"/>
    <w:rsid w:val="00FD6A52"/>
    <w:rsid w:val="00FE7C97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3BC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3BC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1EE29D-7636-43F7-A6BB-6E9F55C6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2026-07-13T09:34:00Z</dcterms:created>
  <dcterms:modified xsi:type="dcterms:W3CDTF">2026-07-13T09:34:00Z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