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2895D" w14:textId="77777777" w:rsidR="009E04F5" w:rsidRDefault="009E04F5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bookmarkStart w:id="0" w:name="_GoBack"/>
      <w:bookmarkEnd w:id="0"/>
    </w:p>
    <w:p w14:paraId="77BCB8BB" w14:textId="77777777" w:rsidR="009E04F5" w:rsidRPr="009E04F5" w:rsidRDefault="007539D4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Odkryj odrestaurowane</w:t>
      </w:r>
      <w:r w:rsidR="009E04F5" w:rsidRPr="009E04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atrakcje </w:t>
      </w:r>
      <w:proofErr w:type="spellStart"/>
      <w:r w:rsidR="009E04F5" w:rsidRPr="009E04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Andriake</w:t>
      </w:r>
      <w:proofErr w:type="spellEnd"/>
      <w:r w:rsidR="009E04F5" w:rsidRPr="009E04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, Muzeum Cywilizacji Licyjskich i </w:t>
      </w:r>
      <w:proofErr w:type="spellStart"/>
      <w:r w:rsidR="009E04F5" w:rsidRPr="009E04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Syedry</w:t>
      </w:r>
      <w:proofErr w:type="spellEnd"/>
    </w:p>
    <w:p w14:paraId="1E07D931" w14:textId="3AB34233" w:rsidR="009E04F5" w:rsidRPr="009E04F5" w:rsidRDefault="009E04F5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– </w:t>
      </w:r>
      <w:proofErr w:type="spellStart"/>
      <w:r w:rsidRPr="009E04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(Turcja)</w:t>
      </w:r>
      <w:r w:rsidRPr="009E04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inwestuje w ochronę dziedzictwa kulturowego, </w:t>
      </w:r>
      <w:r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br/>
      </w:r>
      <w:r w:rsidR="00D73D3C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odnawiając starożytne zabytki </w:t>
      </w:r>
      <w:r w:rsidR="00C37F59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w prowincji Antalya</w:t>
      </w:r>
    </w:p>
    <w:p w14:paraId="2E23FF00" w14:textId="77777777" w:rsidR="009E04F5" w:rsidRPr="009E04F5" w:rsidRDefault="009E04F5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</w:p>
    <w:p w14:paraId="584FE260" w14:textId="1903C89B" w:rsidR="00F40CF7" w:rsidRPr="009E04F5" w:rsidRDefault="009E04F5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6B2E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Turystyka kulturowa cieszy się coraz większą popularności</w:t>
      </w:r>
      <w:r w:rsidR="00F40CF7" w:rsidRPr="006B2E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ą na całym świecie. P</w:t>
      </w:r>
      <w:r w:rsidR="00C37F59" w:rsidRPr="006B2E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odróżni</w:t>
      </w:r>
      <w:r w:rsidRPr="006B2E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F40CF7" w:rsidRPr="006B2E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coraz częściej </w:t>
      </w:r>
      <w:r w:rsidRPr="006B2E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szukają autentycznych doświadczeń, które pozwalają lepiej poznać historię, kulturę i dziedzictwo odwiedzanych miejsc. W</w:t>
      </w:r>
      <w:r w:rsidR="009E4FB0" w:rsidRPr="006B2E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2025 roku </w:t>
      </w:r>
      <w:r w:rsidR="00796040" w:rsidRPr="006B2E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tego typu wyjazdy stanowiły</w:t>
      </w:r>
      <w:r w:rsidR="00CE6DBA" w:rsidRPr="006B2E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6B2E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55,6% rynku turystycznego, co odzwierciedla rosn</w:t>
      </w:r>
      <w:r w:rsidR="001C5A3C" w:rsidRPr="006B2E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ące zainteresowanie podróżami o </w:t>
      </w:r>
      <w:r w:rsidRPr="006B2E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wartości poznawczej. Według prognoz wartość tego segmentu wzrośnie z 647,5 mld dolarów w 2026 roku do 937 mld dolarów w 2033 roku, przy średniorocznym tempie wzrostu (CAGR) wynoszącym 5,4%.</w:t>
      </w:r>
    </w:p>
    <w:p w14:paraId="0BAC5E83" w14:textId="77777777" w:rsidR="009E04F5" w:rsidRDefault="009E04F5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6EB26EB3" w14:textId="73CCD093" w:rsidR="009E04F5" w:rsidRDefault="009E4FB0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(Turcja) doskonale wpisuje się w trend</w:t>
      </w:r>
      <w:r w:rsidRPr="006B2EF5">
        <w:rPr>
          <w:sz w:val="24"/>
          <w:szCs w:val="24"/>
        </w:rPr>
        <w:t xml:space="preserve"> zainteresowania 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turystyką kulturową, oferując możliwość odkrywania najważniejszych świadectw historii ludzkości – od </w:t>
      </w:r>
      <w:proofErr w:type="spellStart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Göbeklitepe</w:t>
      </w:r>
      <w:proofErr w:type="spellEnd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 najstarszego znanego monumentalnego kompleksu w</w:t>
      </w:r>
      <w:r w:rsid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zniesionego przez człowieka, po 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legendarną Troję, która stała się inspiracją dla jednych z najważniejszych mitów cywilizacji zachodniej.</w:t>
      </w:r>
      <w:r w:rsid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E04F5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Kraj konsekwentnie realizuje programy re</w:t>
      </w:r>
      <w:r w:rsidR="006B2EF5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nowacji i konserwacji zabytków </w:t>
      </w:r>
      <w:r w:rsidR="00C357C0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 celu </w:t>
      </w:r>
      <w:proofErr w:type="gramStart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ich</w:t>
      </w:r>
      <w:proofErr w:type="gramEnd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C357C0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ochrony</w:t>
      </w:r>
      <w:r w:rsidR="00C37F59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dla przyszłych pokoleń,</w:t>
      </w:r>
      <w:r w:rsidR="009E04F5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jednocześnie podnosząc komfort zwiedzania. Najnowsze przedsięwzięcia obejmują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73D3C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prace renowacyjne na stanowisku archeologicznym </w:t>
      </w:r>
      <w:proofErr w:type="spellStart"/>
      <w:r w:rsidR="009E04F5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Andriake</w:t>
      </w:r>
      <w:proofErr w:type="spellEnd"/>
      <w:r w:rsid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i </w:t>
      </w:r>
      <w:r w:rsidR="009E04F5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Muz</w:t>
      </w:r>
      <w:r w:rsidR="001C5A3C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eum Cywilizacji Licyjskich oraz </w:t>
      </w:r>
      <w:r w:rsidR="009E04F5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otwarcie nowego centrum dla zwiedzających w </w:t>
      </w:r>
      <w:proofErr w:type="spellStart"/>
      <w:r w:rsidR="009E04F5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Syedrze</w:t>
      </w:r>
      <w:proofErr w:type="spellEnd"/>
      <w:r w:rsidR="009E04F5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7B0A3460" w14:textId="77777777" w:rsidR="00D73D3C" w:rsidRDefault="00D73D3C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181F7A57" w14:textId="797AFBBF" w:rsidR="009E04F5" w:rsidRDefault="009E04F5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 zakończeniu kompleksowych prac konserwatorskich, renowacyjny</w:t>
      </w:r>
      <w:r w:rsidR="00D73D3C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ch i zagospodarowaniu 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terenu ponownie udostępniono zwiedzającym </w:t>
      </w:r>
      <w:r w:rsidR="00F73A4B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stanowisko archeologiczne </w:t>
      </w:r>
      <w:proofErr w:type="spellStart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An</w:t>
      </w:r>
      <w:r w:rsidR="001C5A3C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driake</w:t>
      </w:r>
      <w:proofErr w:type="spellEnd"/>
      <w:r w:rsidR="001C5A3C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oraz 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Muzeum Cywilizacji Licyjskich w </w:t>
      </w:r>
      <w:proofErr w:type="spellStart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Demre</w:t>
      </w:r>
      <w:proofErr w:type="spellEnd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położonym w sercu Riwiery Tureckiej. Z kolei </w:t>
      </w:r>
      <w:proofErr w:type="spellStart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Syedra</w:t>
      </w:r>
      <w:proofErr w:type="spellEnd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znajdująca się w </w:t>
      </w:r>
      <w:r w:rsidR="00F73A4B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okolicach </w:t>
      </w:r>
      <w:proofErr w:type="spellStart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Alanyi</w:t>
      </w:r>
      <w:proofErr w:type="spellEnd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jednym z najpopularniejszych </w:t>
      </w:r>
      <w:r w:rsidR="00C37F59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letnich 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kurortów</w:t>
      </w:r>
      <w:r w:rsidR="00F73A4B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E4FB0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</w:t>
      </w:r>
      <w:r w:rsid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 </w:t>
      </w:r>
      <w:r w:rsidR="00C37F59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prowincji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Antalya, zyskała nowoczesne centrum obsługi odwiedzających.</w:t>
      </w:r>
    </w:p>
    <w:p w14:paraId="5FE48219" w14:textId="77777777" w:rsidR="00D73D3C" w:rsidRDefault="00D73D3C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7ACA3894" w14:textId="77777777" w:rsidR="009E04F5" w:rsidRPr="009E04F5" w:rsidRDefault="009E04F5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9E04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Andriake</w:t>
      </w:r>
      <w:proofErr w:type="spellEnd"/>
      <w:r w:rsidRPr="009E04F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i Muzeum Cywilizacji Licyjskich – nowa odsłona podróży do starożytnej Licji</w:t>
      </w:r>
    </w:p>
    <w:p w14:paraId="564D5B7B" w14:textId="0504E639" w:rsidR="00F73A4B" w:rsidRPr="009E04F5" w:rsidRDefault="009E04F5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Andriake</w:t>
      </w:r>
      <w:proofErr w:type="spellEnd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FE1E08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będące bramą morską 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starożytnej Myry, należało do najważniejszych </w:t>
      </w:r>
      <w:r w:rsidR="00F73A4B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miast portowych </w:t>
      </w:r>
      <w:r w:rsidR="00C37F59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cywilizacji licyjskiej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C37F59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Jego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znaczenie </w:t>
      </w:r>
      <w:r w:rsidR="00C37F59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utrzymało się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zarówno w epoce hellenistycznej, jak i w czasach rzymskich oraz </w:t>
      </w:r>
      <w:proofErr w:type="spellStart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wschodniorzymskich</w:t>
      </w:r>
      <w:proofErr w:type="spellEnd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 Dziś można tu podziwiać wyjątkowo dobrze zachowane pozostałości miasta, rozci</w:t>
      </w:r>
      <w:r w:rsid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ągające się przede wszystkim po 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południowej stronie dawnego portu. Wśród najcenniejszych zabytków znajdują się akwedukt doprowadzający niegdyś wodę do miasta, monumentalne rzymskie nimfeum, ulica Portowa, fragmenty dawnych hangarów dla statków oraz agora zwana </w:t>
      </w:r>
      <w:proofErr w:type="spellStart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Plakomą</w:t>
      </w:r>
      <w:proofErr w:type="spellEnd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2D54DAF1" w14:textId="77777777" w:rsidR="009B0EAF" w:rsidRDefault="009B0EAF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164BFED0" w14:textId="489BE361" w:rsidR="00F73A4B" w:rsidRDefault="009B0EAF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Andriake</w:t>
      </w:r>
      <w:proofErr w:type="spellEnd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leży również </w:t>
      </w:r>
      <w:r w:rsidR="00330BE9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wzdłuż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Szlaku Licyjskiego – pierwszego długodystansowego szlaku pieszego w </w:t>
      </w:r>
      <w:proofErr w:type="spellStart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(Turcji), uznawanego przez prestiż</w:t>
      </w:r>
      <w:r w:rsid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owe międzynarodowe media, m.in. 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Time Out, za jedną z najpiękniejszych tras tre</w:t>
      </w:r>
      <w:r w:rsid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kkingowych świata. Niedawno The </w:t>
      </w:r>
      <w:proofErr w:type="spellStart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Telegraph</w:t>
      </w:r>
      <w:proofErr w:type="spellEnd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umieścił go także na liście piętnastu najlepsz</w:t>
      </w:r>
      <w:r w:rsid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ych pieszych tras wakacyjnych w 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Europie. Odwiedzający przemierzający Szlak Licyjski mogą nie tylko </w:t>
      </w:r>
      <w:r w:rsidR="001C5A3C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odkrywać niezwykłe krajobrazy i 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zabytki starożytnej Licji, lecz także zobaczyć efekty najno</w:t>
      </w:r>
      <w:r w:rsidR="001C5A3C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wszych prac rewitalizacyjnych w </w:t>
      </w:r>
      <w:proofErr w:type="spellStart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Andriake</w:t>
      </w:r>
      <w:proofErr w:type="spellEnd"/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 Powstały tu nowe, przyjazn</w:t>
      </w:r>
      <w:r w:rsid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 środowisku ścieżki wykonane z </w:t>
      </w:r>
      <w:r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drewnianych podkładów i łupanego granitu, które harmon</w:t>
      </w:r>
      <w:r w:rsidR="00330BE9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ijnie wpisują się w zabytkowy charakter stanowiska. Udogodnienia te pozwalają zwiedzającym na k</w:t>
      </w:r>
      <w:r w:rsidR="001C5A3C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omfortowe zwiedzanie obiektu, a </w:t>
      </w:r>
      <w:r w:rsidR="00330BE9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zaraze</w:t>
      </w:r>
      <w:r w:rsidR="00FE1E08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m na lepsze poznanie</w:t>
      </w:r>
      <w:r w:rsidR="00330BE9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FE1E08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morskiego </w:t>
      </w:r>
      <w:r w:rsidR="00330BE9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dziedzictwa </w:t>
      </w:r>
      <w:r w:rsidR="00FE1E08" w:rsidRPr="006B2E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Licji.</w:t>
      </w:r>
    </w:p>
    <w:p w14:paraId="1FCAF969" w14:textId="77777777" w:rsidR="009E04F5" w:rsidRPr="009E04F5" w:rsidRDefault="009E04F5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49471E55" w14:textId="462B2941" w:rsidR="009E04F5" w:rsidRDefault="009B0EAF" w:rsidP="001C5A3C">
      <w:pPr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9B0EA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Na końcu trasy znajduje się Muzeum Cywilizac</w:t>
      </w:r>
      <w:r w:rsid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ji Licyjskich, mieszczące się w </w:t>
      </w:r>
      <w:r w:rsidRPr="009B0EA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odrestaurowanym starożytnym spichlerzu (</w:t>
      </w:r>
      <w:proofErr w:type="spellStart"/>
      <w:r w:rsidRPr="009B0EA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Granarium</w:t>
      </w:r>
      <w:proofErr w:type="spellEnd"/>
      <w:r w:rsidRPr="009B0EA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)</w:t>
      </w:r>
      <w:r w:rsidR="00E37DB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</w:t>
      </w:r>
      <w:r w:rsidR="00E37DBF" w:rsidRPr="00E37DBF">
        <w:t xml:space="preserve"> </w:t>
      </w:r>
      <w:r w:rsidR="00E37DBF" w:rsidRPr="00E37DB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położonym na terenie stanowiska archeologicznego</w:t>
      </w:r>
      <w:r w:rsidRPr="009B0EA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Po modernizacji muzeum zyskało nowoczesne przestrzenie ekspozycyjne prezentujące zabytki odkryte podczas wykopalisk prowadzonych na terenie starożytnych miast Licji. Zwiedzający mogą zobaczyć rzeźby, sarkofagi, inskrypcje, monety i wiele innych cennych artefaktów, które przybliżają codzienne życie oraz kulturę mieszkańców regionu. Jednym z najciekawszych nowych eksponatów są odkryte w </w:t>
      </w:r>
      <w:proofErr w:type="spellStart"/>
      <w:r w:rsidRPr="009B0EA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Andriake</w:t>
      </w:r>
      <w:proofErr w:type="spellEnd"/>
      <w:r w:rsidRPr="009B0EA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 </w:t>
      </w:r>
      <w:r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2024 roku szklane panele i rozety wykonane techniką millefiori („tysiąc</w:t>
      </w:r>
      <w:r w:rsidR="00C37F59"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</w:t>
      </w:r>
      <w:r w:rsidR="001C5A3C"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kwiatów”), świadczące </w:t>
      </w:r>
      <w:r w:rsidR="00E37DBF"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 wyjątkowym kunszcie starożytnego rzemiosła szklarskiego w Anatolii.</w:t>
      </w:r>
    </w:p>
    <w:p w14:paraId="486378BF" w14:textId="77777777" w:rsidR="009B0EAF" w:rsidRPr="009B0EAF" w:rsidRDefault="009B0EAF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9B0EA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Syedra</w:t>
      </w:r>
      <w:proofErr w:type="spellEnd"/>
      <w:r w:rsidRPr="009B0EA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otwiera nowe centrum dla zwiedzających </w:t>
      </w:r>
    </w:p>
    <w:p w14:paraId="2B1C175F" w14:textId="6E20085F" w:rsidR="009B0EAF" w:rsidRPr="001C5A3C" w:rsidRDefault="009B0EAF" w:rsidP="009B0EA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Syedra</w:t>
      </w:r>
      <w:proofErr w:type="spellEnd"/>
      <w:r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C37F59"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została wzniesiona</w:t>
      </w:r>
      <w:r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na szczycie wzgórza </w:t>
      </w:r>
      <w:r w:rsidR="00E37DBF"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zwanego </w:t>
      </w:r>
      <w:proofErr w:type="spellStart"/>
      <w:r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Asartepe</w:t>
      </w:r>
      <w:proofErr w:type="spellEnd"/>
      <w:r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 z którego rozciąga się imponująca panorama wybrzeża Morza Śródziemnego. Bada</w:t>
      </w:r>
      <w:r w:rsid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nia archeologiczne wskazują, że </w:t>
      </w:r>
      <w:r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początki </w:t>
      </w:r>
      <w:r w:rsidR="00C37F59"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tego starożytnego </w:t>
      </w:r>
      <w:r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miasta sięgają IX wieku p.n.e., </w:t>
      </w:r>
      <w:proofErr w:type="gramStart"/>
      <w:r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natomiast</w:t>
      </w:r>
      <w:proofErr w:type="gramEnd"/>
      <w:r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największy rozkwit przeżywało ono w okresie rzymskim i </w:t>
      </w:r>
      <w:proofErr w:type="spellStart"/>
      <w:r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wschodniorzymskim</w:t>
      </w:r>
      <w:proofErr w:type="spellEnd"/>
      <w:r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Z tego czasu pochodzi większość zachowanych do dziś zabytków. Do najciekawszych z nich należą </w:t>
      </w:r>
      <w:r w:rsidR="00B94F8D"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Ulica Kolumnadowa</w:t>
      </w:r>
      <w:r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 Wielkie Łaźnie, budynek zgromadzeń oraz Grota Chrzcielna. Wyjątkową atrakcją jest także mozaika odkryta w Wielkich Łaźniach, przedstawiająca wszystkie dwanaście pra</w:t>
      </w:r>
      <w:r w:rsidR="00C37F59"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 Heraklesa na jednym panelu, stanowiąca unikatowy przykład </w:t>
      </w:r>
      <w:r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starożytnej sztuki mozaikowej.</w:t>
      </w:r>
    </w:p>
    <w:p w14:paraId="6FB96523" w14:textId="77777777" w:rsidR="009B0EAF" w:rsidRPr="001C5A3C" w:rsidRDefault="009B0EAF" w:rsidP="009B0EA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3669D073" w14:textId="0D569B5F" w:rsidR="009B0EAF" w:rsidRDefault="00B94F8D" w:rsidP="009B0EA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Podczas</w:t>
      </w:r>
      <w:r w:rsidR="009B0EAF" w:rsidRPr="009E04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prac wykopaliskowych i restauratorskich prowadzonych w </w:t>
      </w:r>
      <w:proofErr w:type="spellStart"/>
      <w:r w:rsidR="009B0EAF" w:rsidRPr="009E04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Syedrze</w:t>
      </w:r>
      <w:proofErr w:type="spellEnd"/>
      <w:r w:rsidR="009B0EAF" w:rsidRPr="009E04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 ramach projektu „</w:t>
      </w:r>
      <w:proofErr w:type="spellStart"/>
      <w:r w:rsidR="009B0EAF" w:rsidRPr="009E04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Legacy</w:t>
      </w:r>
      <w:proofErr w:type="spellEnd"/>
      <w:r w:rsidR="009B0EAF" w:rsidRPr="009E04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for the </w:t>
      </w:r>
      <w:proofErr w:type="spellStart"/>
      <w:r w:rsidR="009B0EAF" w:rsidRPr="009E04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Future</w:t>
      </w:r>
      <w:proofErr w:type="spellEnd"/>
      <w:r w:rsidR="009B0EAF" w:rsidRPr="009E04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Project” zakończono również prace związane z</w:t>
      </w:r>
      <w:r w:rsidR="001C5A3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 </w:t>
      </w:r>
      <w:r w:rsidR="009B0EAF" w:rsidRPr="009E04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zagospodarowaniem terenu oraz otwarto nowe </w:t>
      </w:r>
      <w:r w:rsidR="00C37F59" w:rsidRPr="00C37F59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centrum dla </w:t>
      </w:r>
      <w:r w:rsidR="00C37F59" w:rsidRPr="007E7C0A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zwiedzających</w:t>
      </w:r>
      <w:r w:rsidR="009B0EAF" w:rsidRPr="007E7C0A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  <w:r w:rsidR="009B0EAF" w:rsidRPr="009E04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 odnowionej </w:t>
      </w:r>
      <w:r w:rsidR="00C37F59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odsłon</w:t>
      </w:r>
      <w:r w:rsidR="00FE1E0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ie </w:t>
      </w:r>
      <w:proofErr w:type="spellStart"/>
      <w:r w:rsidR="00FE1E0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Syedrę</w:t>
      </w:r>
      <w:proofErr w:type="spellEnd"/>
      <w:r w:rsidR="00FE1E0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będzie </w:t>
      </w:r>
      <w:r w:rsidR="00FE1E08" w:rsidRPr="007E7C0A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można </w:t>
      </w:r>
      <w:r w:rsidR="006B2EF5" w:rsidRPr="007E7C0A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zobaczyć </w:t>
      </w:r>
      <w:r w:rsidR="009B0EAF" w:rsidRPr="007E7C0A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codziennie</w:t>
      </w:r>
      <w:r w:rsidR="009B0EAF" w:rsidRPr="009E04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 godzinach od</w:t>
      </w:r>
      <w:proofErr w:type="gramStart"/>
      <w:r w:rsidR="009B0EAF" w:rsidRPr="009E04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9:00 do</w:t>
      </w:r>
      <w:proofErr w:type="gramEnd"/>
      <w:r w:rsidR="009B0EAF" w:rsidRPr="009E04F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18:00.</w:t>
      </w:r>
    </w:p>
    <w:p w14:paraId="146E9270" w14:textId="77777777" w:rsidR="009B0EAF" w:rsidRPr="007A7337" w:rsidRDefault="009B0EAF" w:rsidP="009E04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0F4912D" w14:textId="77777777" w:rsidR="00EC0378" w:rsidRPr="00A94BCC" w:rsidRDefault="00EC0378" w:rsidP="00A94BC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A94BCC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717257EB" w14:textId="77777777" w:rsidR="00EC0378" w:rsidRPr="00A94BCC" w:rsidRDefault="00EC0378" w:rsidP="00A94BCC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94BCC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4AA3B3DA" w14:textId="77777777" w:rsidR="00EC0378" w:rsidRPr="001C5A3C" w:rsidRDefault="00EC0378" w:rsidP="00A94BCC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1C5A3C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1C5A3C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1C5A3C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0537982D" w14:textId="77777777" w:rsidR="009C0358" w:rsidRPr="00A711A7" w:rsidRDefault="00EC0378" w:rsidP="00A711A7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A94BCC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A94BCC">
        <w:rPr>
          <w:rFonts w:asciiTheme="minorHAnsi" w:hAnsiTheme="minorHAnsi" w:cstheme="minorHAnsi"/>
          <w:bCs/>
          <w:sz w:val="18"/>
          <w:szCs w:val="18"/>
        </w:rPr>
        <w:t>: 668 132 416</w:t>
      </w:r>
    </w:p>
    <w:sectPr w:rsidR="009C0358" w:rsidRPr="00A711A7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0659C" w14:textId="77777777" w:rsidR="0044603A" w:rsidRDefault="0044603A">
      <w:pPr>
        <w:spacing w:after="0" w:line="240" w:lineRule="auto"/>
      </w:pPr>
      <w:r>
        <w:separator/>
      </w:r>
    </w:p>
  </w:endnote>
  <w:endnote w:type="continuationSeparator" w:id="0">
    <w:p w14:paraId="0EBAE3F7" w14:textId="77777777" w:rsidR="0044603A" w:rsidRDefault="0044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314B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6F6F1F46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150FBC5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17BA000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E2034" w14:textId="77777777" w:rsidR="0044603A" w:rsidRDefault="0044603A">
      <w:pPr>
        <w:spacing w:after="0" w:line="240" w:lineRule="auto"/>
      </w:pPr>
      <w:r>
        <w:separator/>
      </w:r>
    </w:p>
  </w:footnote>
  <w:footnote w:type="continuationSeparator" w:id="0">
    <w:p w14:paraId="4B0D3ACB" w14:textId="77777777" w:rsidR="0044603A" w:rsidRDefault="0044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E342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ABA6D54" wp14:editId="6D010C0D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84559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FD4B1B6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5DB278D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22D3D01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2E3BED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661D94A0" w14:textId="5AB2A22A" w:rsidR="00C16FF0" w:rsidRDefault="00057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F435FF">
      <w:rPr>
        <w:color w:val="000000"/>
      </w:rPr>
      <w:t>16.</w:t>
    </w:r>
    <w:r w:rsidR="00AA5437">
      <w:rPr>
        <w:color w:val="000000"/>
      </w:rPr>
      <w:t>07</w:t>
    </w:r>
    <w:r w:rsidR="0044537B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7DB9964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04358"/>
    <w:multiLevelType w:val="hybridMultilevel"/>
    <w:tmpl w:val="74DCA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E0C73"/>
    <w:multiLevelType w:val="hybridMultilevel"/>
    <w:tmpl w:val="820C8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36B8F"/>
    <w:rsid w:val="000422C3"/>
    <w:rsid w:val="000557B7"/>
    <w:rsid w:val="000574B6"/>
    <w:rsid w:val="0006086A"/>
    <w:rsid w:val="00063932"/>
    <w:rsid w:val="00085F3D"/>
    <w:rsid w:val="000A2CDC"/>
    <w:rsid w:val="000A5B8F"/>
    <w:rsid w:val="000A769C"/>
    <w:rsid w:val="000B2FAE"/>
    <w:rsid w:val="000C747F"/>
    <w:rsid w:val="000D38A0"/>
    <w:rsid w:val="000D3B1D"/>
    <w:rsid w:val="000D66BA"/>
    <w:rsid w:val="000F038E"/>
    <w:rsid w:val="000F19DF"/>
    <w:rsid w:val="000F586B"/>
    <w:rsid w:val="000F7EAB"/>
    <w:rsid w:val="000F7EE5"/>
    <w:rsid w:val="00113296"/>
    <w:rsid w:val="00115344"/>
    <w:rsid w:val="00123485"/>
    <w:rsid w:val="00125C6B"/>
    <w:rsid w:val="00135753"/>
    <w:rsid w:val="001527BC"/>
    <w:rsid w:val="001567C9"/>
    <w:rsid w:val="00161AFB"/>
    <w:rsid w:val="0016497A"/>
    <w:rsid w:val="0018372C"/>
    <w:rsid w:val="00190A8F"/>
    <w:rsid w:val="001A1C43"/>
    <w:rsid w:val="001C3D58"/>
    <w:rsid w:val="001C5A3C"/>
    <w:rsid w:val="001F28DF"/>
    <w:rsid w:val="001F677F"/>
    <w:rsid w:val="00203555"/>
    <w:rsid w:val="00230179"/>
    <w:rsid w:val="00251DAF"/>
    <w:rsid w:val="00270B76"/>
    <w:rsid w:val="00275395"/>
    <w:rsid w:val="0028109B"/>
    <w:rsid w:val="002934BE"/>
    <w:rsid w:val="00293A7A"/>
    <w:rsid w:val="0029528E"/>
    <w:rsid w:val="00297488"/>
    <w:rsid w:val="002A0798"/>
    <w:rsid w:val="002A6979"/>
    <w:rsid w:val="002B18E4"/>
    <w:rsid w:val="002B4AF9"/>
    <w:rsid w:val="002B5543"/>
    <w:rsid w:val="002B7FDD"/>
    <w:rsid w:val="002E1384"/>
    <w:rsid w:val="002E1DE8"/>
    <w:rsid w:val="00302B9D"/>
    <w:rsid w:val="003136B0"/>
    <w:rsid w:val="003168E2"/>
    <w:rsid w:val="00330BE9"/>
    <w:rsid w:val="00332252"/>
    <w:rsid w:val="003336E3"/>
    <w:rsid w:val="0033551A"/>
    <w:rsid w:val="0033610B"/>
    <w:rsid w:val="00336934"/>
    <w:rsid w:val="0034079B"/>
    <w:rsid w:val="00345C0B"/>
    <w:rsid w:val="0034798F"/>
    <w:rsid w:val="00360DC3"/>
    <w:rsid w:val="003621DF"/>
    <w:rsid w:val="003761F9"/>
    <w:rsid w:val="00376BC3"/>
    <w:rsid w:val="003819A7"/>
    <w:rsid w:val="00395638"/>
    <w:rsid w:val="003B6553"/>
    <w:rsid w:val="003C09BA"/>
    <w:rsid w:val="003D6C46"/>
    <w:rsid w:val="003E08F1"/>
    <w:rsid w:val="003E0FC8"/>
    <w:rsid w:val="003E4909"/>
    <w:rsid w:val="003F41D5"/>
    <w:rsid w:val="004037C3"/>
    <w:rsid w:val="004122D6"/>
    <w:rsid w:val="004159E3"/>
    <w:rsid w:val="0042070F"/>
    <w:rsid w:val="0043098B"/>
    <w:rsid w:val="0044537B"/>
    <w:rsid w:val="0044603A"/>
    <w:rsid w:val="00454A56"/>
    <w:rsid w:val="0046107E"/>
    <w:rsid w:val="004633D3"/>
    <w:rsid w:val="00465B5A"/>
    <w:rsid w:val="004830A8"/>
    <w:rsid w:val="00483E3E"/>
    <w:rsid w:val="00486E8F"/>
    <w:rsid w:val="0049125D"/>
    <w:rsid w:val="004A283D"/>
    <w:rsid w:val="004B55A1"/>
    <w:rsid w:val="004C140A"/>
    <w:rsid w:val="004C5BD6"/>
    <w:rsid w:val="004D0BF9"/>
    <w:rsid w:val="004D7A54"/>
    <w:rsid w:val="004E2E19"/>
    <w:rsid w:val="004E4DEE"/>
    <w:rsid w:val="004F1401"/>
    <w:rsid w:val="004F67A1"/>
    <w:rsid w:val="00522368"/>
    <w:rsid w:val="00522691"/>
    <w:rsid w:val="00525771"/>
    <w:rsid w:val="00530823"/>
    <w:rsid w:val="005319A9"/>
    <w:rsid w:val="00551574"/>
    <w:rsid w:val="00577226"/>
    <w:rsid w:val="00593F5A"/>
    <w:rsid w:val="005A03A4"/>
    <w:rsid w:val="005A15E4"/>
    <w:rsid w:val="005A4E2A"/>
    <w:rsid w:val="005A7751"/>
    <w:rsid w:val="005C0CD7"/>
    <w:rsid w:val="005C482B"/>
    <w:rsid w:val="005C48A3"/>
    <w:rsid w:val="005D0819"/>
    <w:rsid w:val="005E23C6"/>
    <w:rsid w:val="005F1A4F"/>
    <w:rsid w:val="005F504F"/>
    <w:rsid w:val="00602570"/>
    <w:rsid w:val="00606808"/>
    <w:rsid w:val="006114F5"/>
    <w:rsid w:val="006359F1"/>
    <w:rsid w:val="00672D9E"/>
    <w:rsid w:val="00677DA0"/>
    <w:rsid w:val="0068243F"/>
    <w:rsid w:val="00696E7B"/>
    <w:rsid w:val="006A3070"/>
    <w:rsid w:val="006A3DF1"/>
    <w:rsid w:val="006A5471"/>
    <w:rsid w:val="006B2EF5"/>
    <w:rsid w:val="006B775C"/>
    <w:rsid w:val="006D680D"/>
    <w:rsid w:val="006F2376"/>
    <w:rsid w:val="0070502A"/>
    <w:rsid w:val="00705210"/>
    <w:rsid w:val="00707149"/>
    <w:rsid w:val="00731609"/>
    <w:rsid w:val="00735399"/>
    <w:rsid w:val="00737654"/>
    <w:rsid w:val="00741CEF"/>
    <w:rsid w:val="007539D4"/>
    <w:rsid w:val="00761851"/>
    <w:rsid w:val="00761C53"/>
    <w:rsid w:val="00763291"/>
    <w:rsid w:val="00764ADB"/>
    <w:rsid w:val="00775B74"/>
    <w:rsid w:val="00775B90"/>
    <w:rsid w:val="00777E5E"/>
    <w:rsid w:val="0078606F"/>
    <w:rsid w:val="00793E00"/>
    <w:rsid w:val="00796040"/>
    <w:rsid w:val="007A7337"/>
    <w:rsid w:val="007B2215"/>
    <w:rsid w:val="007D12F5"/>
    <w:rsid w:val="007E7C0A"/>
    <w:rsid w:val="008011AC"/>
    <w:rsid w:val="00806B57"/>
    <w:rsid w:val="008108E3"/>
    <w:rsid w:val="008224FE"/>
    <w:rsid w:val="0087056F"/>
    <w:rsid w:val="00871903"/>
    <w:rsid w:val="00876BB2"/>
    <w:rsid w:val="008F74E6"/>
    <w:rsid w:val="0091259C"/>
    <w:rsid w:val="00914A15"/>
    <w:rsid w:val="00915D08"/>
    <w:rsid w:val="00916ACE"/>
    <w:rsid w:val="009252FF"/>
    <w:rsid w:val="00936724"/>
    <w:rsid w:val="00942908"/>
    <w:rsid w:val="00946AF0"/>
    <w:rsid w:val="00950E1E"/>
    <w:rsid w:val="00957262"/>
    <w:rsid w:val="0096628E"/>
    <w:rsid w:val="009807E6"/>
    <w:rsid w:val="009924C3"/>
    <w:rsid w:val="00996B9C"/>
    <w:rsid w:val="009B0318"/>
    <w:rsid w:val="009B0EAF"/>
    <w:rsid w:val="009C0358"/>
    <w:rsid w:val="009C6DA5"/>
    <w:rsid w:val="009D3397"/>
    <w:rsid w:val="009D4480"/>
    <w:rsid w:val="009E04F5"/>
    <w:rsid w:val="009E4FB0"/>
    <w:rsid w:val="009F070C"/>
    <w:rsid w:val="00A06958"/>
    <w:rsid w:val="00A249E3"/>
    <w:rsid w:val="00A26929"/>
    <w:rsid w:val="00A315D3"/>
    <w:rsid w:val="00A334F6"/>
    <w:rsid w:val="00A527A2"/>
    <w:rsid w:val="00A711A7"/>
    <w:rsid w:val="00A75F73"/>
    <w:rsid w:val="00A94BCC"/>
    <w:rsid w:val="00AA5437"/>
    <w:rsid w:val="00AB390B"/>
    <w:rsid w:val="00AC6FFC"/>
    <w:rsid w:val="00B0073F"/>
    <w:rsid w:val="00B13A6C"/>
    <w:rsid w:val="00B412C0"/>
    <w:rsid w:val="00B4254B"/>
    <w:rsid w:val="00B5229F"/>
    <w:rsid w:val="00B538B0"/>
    <w:rsid w:val="00B66E47"/>
    <w:rsid w:val="00B7373D"/>
    <w:rsid w:val="00B921B1"/>
    <w:rsid w:val="00B94F8D"/>
    <w:rsid w:val="00BA14EA"/>
    <w:rsid w:val="00BB05DA"/>
    <w:rsid w:val="00BB13BC"/>
    <w:rsid w:val="00BC6494"/>
    <w:rsid w:val="00BE624D"/>
    <w:rsid w:val="00BE6FF4"/>
    <w:rsid w:val="00BF71B2"/>
    <w:rsid w:val="00C000D9"/>
    <w:rsid w:val="00C046D8"/>
    <w:rsid w:val="00C16FF0"/>
    <w:rsid w:val="00C357C0"/>
    <w:rsid w:val="00C37F59"/>
    <w:rsid w:val="00C50EC0"/>
    <w:rsid w:val="00C719E4"/>
    <w:rsid w:val="00C92206"/>
    <w:rsid w:val="00CC141C"/>
    <w:rsid w:val="00CC1963"/>
    <w:rsid w:val="00CD28A6"/>
    <w:rsid w:val="00CE6DBA"/>
    <w:rsid w:val="00CF3942"/>
    <w:rsid w:val="00D21C52"/>
    <w:rsid w:val="00D264CE"/>
    <w:rsid w:val="00D333AE"/>
    <w:rsid w:val="00D40C84"/>
    <w:rsid w:val="00D46D0F"/>
    <w:rsid w:val="00D5030C"/>
    <w:rsid w:val="00D6760E"/>
    <w:rsid w:val="00D73D3C"/>
    <w:rsid w:val="00D87428"/>
    <w:rsid w:val="00DA711D"/>
    <w:rsid w:val="00DC1B36"/>
    <w:rsid w:val="00DD3E6C"/>
    <w:rsid w:val="00DE3200"/>
    <w:rsid w:val="00E00290"/>
    <w:rsid w:val="00E3292F"/>
    <w:rsid w:val="00E37DBF"/>
    <w:rsid w:val="00E6106C"/>
    <w:rsid w:val="00E67FF7"/>
    <w:rsid w:val="00E92EDF"/>
    <w:rsid w:val="00E950C9"/>
    <w:rsid w:val="00EB1283"/>
    <w:rsid w:val="00EC0378"/>
    <w:rsid w:val="00EC0BF5"/>
    <w:rsid w:val="00EC738E"/>
    <w:rsid w:val="00ED2308"/>
    <w:rsid w:val="00ED4CF3"/>
    <w:rsid w:val="00ED77E1"/>
    <w:rsid w:val="00F272FA"/>
    <w:rsid w:val="00F27B1D"/>
    <w:rsid w:val="00F40CF7"/>
    <w:rsid w:val="00F435FF"/>
    <w:rsid w:val="00F5208B"/>
    <w:rsid w:val="00F52AE4"/>
    <w:rsid w:val="00F54A20"/>
    <w:rsid w:val="00F73A4B"/>
    <w:rsid w:val="00F97A34"/>
    <w:rsid w:val="00FB46B8"/>
    <w:rsid w:val="00FB7859"/>
    <w:rsid w:val="00FC6723"/>
    <w:rsid w:val="00FD3383"/>
    <w:rsid w:val="00FD6A52"/>
    <w:rsid w:val="00FE1E08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8F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C3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  <w:style w:type="paragraph" w:styleId="Bezodstpw">
    <w:name w:val="No Spacing"/>
    <w:uiPriority w:val="1"/>
    <w:qFormat/>
    <w:rsid w:val="00D6760E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"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C3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  <w:style w:type="paragraph" w:styleId="Bezodstpw">
    <w:name w:val="No Spacing"/>
    <w:uiPriority w:val="1"/>
    <w:qFormat/>
    <w:rsid w:val="00D6760E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402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018745-7EE1-4073-BE2E-60E2DDBE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2026-07-16T07:52:00Z</dcterms:created>
  <dcterms:modified xsi:type="dcterms:W3CDTF">2026-07-16T07:52:00Z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